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4"/>
          <w:szCs w:val="24"/>
          <w:u w:val="none"/>
          <w:shd w:fill="auto" w:val="clear"/>
          <w:vertAlign w:val="baseline"/>
        </w:rPr>
      </w:pPr>
      <w:r w:rsidDel="00000000" w:rsidR="00000000" w:rsidRPr="00000000">
        <w:rPr>
          <w:rFonts w:ascii="Century" w:cs="Century" w:eastAsia="Century" w:hAnsi="Century"/>
          <w:b w:val="0"/>
          <w:i w:val="0"/>
          <w:smallCaps w:val="0"/>
          <w:strike w:val="0"/>
          <w:color w:val="000000"/>
          <w:sz w:val="24"/>
          <w:szCs w:val="24"/>
          <w:u w:val="none"/>
          <w:shd w:fill="auto" w:val="clear"/>
          <w:vertAlign w:val="baseline"/>
          <w:rtl w:val="0"/>
        </w:rPr>
        <w:t xml:space="preserve">調査作業</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entury" w:cs="Century" w:eastAsia="Century" w:hAnsi="Century"/>
          <w:b w:val="0"/>
          <w:i w:val="0"/>
          <w:smallCaps w:val="0"/>
          <w:strike w:val="0"/>
          <w:color w:val="000000"/>
          <w:sz w:val="21"/>
          <w:szCs w:val="21"/>
          <w:u w:val="none"/>
          <w:shd w:fill="auto" w:val="clear"/>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作業内容</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ロープアクセス技術を駆使して、至近距離から目視観察、</w:t>
      </w: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打音検査による調</w:t>
      </w: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査を行い、クラック等の変状をマーキングし、位置や状態を観察・記録します。</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entury" w:cs="Century" w:eastAsia="Century" w:hAnsi="Century"/>
          <w:b w:val="0"/>
          <w:i w:val="0"/>
          <w:smallCaps w:val="0"/>
          <w:strike w:val="0"/>
          <w:color w:val="000000"/>
          <w:sz w:val="21"/>
          <w:szCs w:val="21"/>
          <w:u w:val="none"/>
          <w:shd w:fill="auto" w:val="clear"/>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使用機材</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1"/>
          <w:i w:val="0"/>
          <w:smallCaps w:val="0"/>
          <w:strike w:val="0"/>
          <w:color w:val="000000"/>
          <w:sz w:val="21"/>
          <w:szCs w:val="21"/>
          <w:u w:val="none"/>
          <w:shd w:fill="auto" w:val="clear"/>
          <w:vertAlign w:val="baseline"/>
          <w:rtl w:val="0"/>
        </w:rPr>
        <w:t xml:space="preserve">共同装備 ：</w:t>
      </w: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 スタティックロープ(長さ３０～２００ｍ、径８～１１ｍｍ、静止耐荷重は約１ｔ）、ロープバッグ、ハンマードリル、ハンマードリルバッテリー等。</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1"/>
          <w:i w:val="0"/>
          <w:smallCaps w:val="0"/>
          <w:strike w:val="0"/>
          <w:color w:val="000000"/>
          <w:sz w:val="21"/>
          <w:szCs w:val="21"/>
          <w:u w:val="none"/>
          <w:shd w:fill="auto" w:val="clear"/>
          <w:vertAlign w:val="baseline"/>
          <w:rtl w:val="0"/>
        </w:rPr>
        <w:t xml:space="preserve">個人装備 ：</w:t>
      </w: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 ヘルメット、ハーネス、下降器(ディセンダー、ＳＴＯＰ）、登高器（チェストアッセンダー、ハンドアッセンダー）、アブミ、スリング、カラビナ、ロープガード、無線機等。</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1"/>
          <w:i w:val="0"/>
          <w:smallCaps w:val="0"/>
          <w:strike w:val="0"/>
          <w:color w:val="000000"/>
          <w:sz w:val="21"/>
          <w:szCs w:val="21"/>
          <w:u w:val="none"/>
          <w:shd w:fill="auto" w:val="clear"/>
          <w:vertAlign w:val="baseline"/>
          <w:rtl w:val="0"/>
        </w:rPr>
        <w:t xml:space="preserve">調査用具 ： </w:t>
      </w: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カメラ（一眼レフデジタルカメラ等、予備機も携行）筆記具　図面携帯用バインダー、クリノコンパス　デジタル高度計　巻尺　ＦＲＰ製伸縮赤白ポール（写真撮影用）等。</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entury" w:cs="Century" w:eastAsia="Century" w:hAnsi="Century"/>
          <w:b w:val="0"/>
          <w:i w:val="0"/>
          <w:smallCaps w:val="0"/>
          <w:strike w:val="0"/>
          <w:color w:val="000000"/>
          <w:sz w:val="21"/>
          <w:szCs w:val="21"/>
          <w:u w:val="none"/>
          <w:shd w:fill="auto" w:val="clear"/>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作業手順</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bl>
      <w:tblPr>
        <w:tblStyle w:val="Table1"/>
        <w:tblW w:w="8654.0" w:type="dxa"/>
        <w:jc w:val="left"/>
        <w:tblInd w:w="-75.0" w:type="dxa"/>
        <w:tblLayout w:type="fixed"/>
        <w:tblLook w:val="0000"/>
      </w:tblPr>
      <w:tblGrid>
        <w:gridCol w:w="1478"/>
        <w:gridCol w:w="250"/>
        <w:gridCol w:w="6926"/>
        <w:tblGridChange w:id="0">
          <w:tblGrid>
            <w:gridCol w:w="1478"/>
            <w:gridCol w:w="250"/>
            <w:gridCol w:w="6926"/>
          </w:tblGrid>
        </w:tblGridChange>
      </w:tblGrid>
      <w:tr>
        <w:trPr>
          <w:cantSplit w:val="0"/>
          <w:tblHeader w:val="0"/>
        </w:trPr>
        <w:tc>
          <w:tcPr>
            <w:vAlign w:val="top"/>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現地への乗り込み</w:t>
            </w:r>
          </w:p>
        </w:tc>
        <w:tc>
          <w:tcPr>
            <w:vAlign w:val="top"/>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当日早朝に京都発。移動手段は、車両。</w:t>
            </w:r>
          </w:p>
        </w:tc>
      </w:tr>
    </w:tbl>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8654.0" w:type="dxa"/>
        <w:jc w:val="left"/>
        <w:tblInd w:w="-75.0" w:type="dxa"/>
        <w:tblLayout w:type="fixed"/>
        <w:tblLook w:val="0000"/>
      </w:tblPr>
      <w:tblGrid>
        <w:gridCol w:w="1478"/>
        <w:gridCol w:w="250"/>
        <w:gridCol w:w="6926"/>
        <w:tblGridChange w:id="0">
          <w:tblGrid>
            <w:gridCol w:w="1478"/>
            <w:gridCol w:w="250"/>
            <w:gridCol w:w="6926"/>
          </w:tblGrid>
        </w:tblGridChange>
      </w:tblGrid>
      <w:tr>
        <w:trPr>
          <w:cantSplit w:val="0"/>
          <w:tblHeader w:val="0"/>
        </w:trPr>
        <w:tc>
          <w:tcPr>
            <w:vAlign w:val="top"/>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下見</w:t>
            </w:r>
          </w:p>
        </w:tc>
        <w:tc>
          <w:tcPr>
            <w:vAlign w:val="top"/>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３０分程度。調査個所やその周辺を各自で遠望し、必要に応じて調査作業用のスケッチを作成します。</w:t>
              <w:br w:type="textWrapping"/>
              <w:t xml:space="preserve">隊長（チームリーダー）は調査上のポイントを遠望等で見極め、作業が効果的かつ効率的に進むように作戦をたてます。</w:t>
            </w:r>
          </w:p>
        </w:tc>
      </w:tr>
    </w:tbl>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8654.0" w:type="dxa"/>
        <w:jc w:val="left"/>
        <w:tblInd w:w="-75.0" w:type="dxa"/>
        <w:tblLayout w:type="fixed"/>
        <w:tblLook w:val="0000"/>
      </w:tblPr>
      <w:tblGrid>
        <w:gridCol w:w="1478"/>
        <w:gridCol w:w="250"/>
        <w:gridCol w:w="6926"/>
        <w:tblGridChange w:id="0">
          <w:tblGrid>
            <w:gridCol w:w="1478"/>
            <w:gridCol w:w="250"/>
            <w:gridCol w:w="6926"/>
          </w:tblGrid>
        </w:tblGridChange>
      </w:tblGrid>
      <w:tr>
        <w:trPr>
          <w:cantSplit w:val="0"/>
          <w:tblHeader w:val="0"/>
        </w:trPr>
        <w:tc>
          <w:tcPr>
            <w:vAlign w:val="top"/>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打ち合わせ</w:t>
            </w:r>
          </w:p>
        </w:tc>
        <w:tc>
          <w:tcPr>
            <w:vAlign w:val="top"/>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３０分程度。調査の目的を再確認し、全員の意思統一をはかります。</w:t>
              <w:br w:type="textWrapping"/>
              <w:t xml:space="preserve">まずは安全確保で、作業範囲の上・下方への部外者の侵入防止などを確認します。</w:t>
              <w:br w:type="textWrapping"/>
              <w:t xml:space="preserve">調査作業については、作業分担、調査測線、手順等を確認します。</w:t>
              <w:br w:type="textWrapping"/>
              <w:t xml:space="preserve">最後に無線機の作動チェックを各自でおこないます。</w:t>
            </w:r>
          </w:p>
        </w:tc>
      </w:tr>
    </w:tbl>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8654.0" w:type="dxa"/>
        <w:jc w:val="left"/>
        <w:tblInd w:w="-75.0" w:type="dxa"/>
        <w:tblLayout w:type="fixed"/>
        <w:tblLook w:val="0000"/>
      </w:tblPr>
      <w:tblGrid>
        <w:gridCol w:w="1478"/>
        <w:gridCol w:w="250"/>
        <w:gridCol w:w="6926"/>
        <w:tblGridChange w:id="0">
          <w:tblGrid>
            <w:gridCol w:w="1478"/>
            <w:gridCol w:w="250"/>
            <w:gridCol w:w="6926"/>
          </w:tblGrid>
        </w:tblGridChange>
      </w:tblGrid>
      <w:tr>
        <w:trPr>
          <w:cantSplit w:val="0"/>
          <w:tblHeader w:val="0"/>
        </w:trPr>
        <w:tc>
          <w:tcPr>
            <w:vAlign w:val="top"/>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作業開始</w:t>
            </w:r>
          </w:p>
        </w:tc>
        <w:tc>
          <w:tcPr>
            <w:vAlign w:val="top"/>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遠景マン（支援要員）は、現場全体を見渡せる場所に遠景撮影機材を持ち込み、陣取ります。カメラは通常、超望遠（８００ｍｍ程度）、望遠（４００ｍｍ程度）、標準、の３セットを配置します。</w:t>
              <w:br w:type="textWrapping"/>
              <w:t xml:space="preserve">クライミング調査員はロープアクセス装備と調査器材を装着（２０分程度）したうえで、所定の長さのロープを携行し、調査測線上方まで移動します。</w:t>
            </w:r>
          </w:p>
        </w:tc>
      </w:tr>
    </w:tbl>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8654.0" w:type="dxa"/>
        <w:jc w:val="left"/>
        <w:tblInd w:w="-75.0" w:type="dxa"/>
        <w:tblLayout w:type="fixed"/>
        <w:tblLook w:val="0000"/>
      </w:tblPr>
      <w:tblGrid>
        <w:gridCol w:w="1478"/>
        <w:gridCol w:w="250"/>
        <w:gridCol w:w="6926"/>
        <w:tblGridChange w:id="0">
          <w:tblGrid>
            <w:gridCol w:w="1478"/>
            <w:gridCol w:w="250"/>
            <w:gridCol w:w="6926"/>
          </w:tblGrid>
        </w:tblGridChange>
      </w:tblGrid>
      <w:tr>
        <w:trPr>
          <w:cantSplit w:val="0"/>
          <w:tblHeader w:val="0"/>
        </w:trPr>
        <w:tc>
          <w:tcPr>
            <w:vAlign w:val="top"/>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支点設置</w:t>
            </w:r>
          </w:p>
        </w:tc>
        <w:tc>
          <w:tcPr>
            <w:vAlign w:val="top"/>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構造物の調査測線上方に到着次第、しっかりした支点を２箇所以上選定し、仮荷重テストの上、ロープを結束します。つぎにロープに下降器をセットし、仮荷重テストで装備や支点が安全にセットされていることを最終確認します。</w:t>
            </w:r>
          </w:p>
        </w:tc>
      </w:tr>
    </w:tbl>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8654.0" w:type="dxa"/>
        <w:jc w:val="left"/>
        <w:tblInd w:w="-75.0" w:type="dxa"/>
        <w:tblLayout w:type="fixed"/>
        <w:tblLook w:val="0000"/>
      </w:tblPr>
      <w:tblGrid>
        <w:gridCol w:w="1478"/>
        <w:gridCol w:w="250"/>
        <w:gridCol w:w="6926"/>
        <w:tblGridChange w:id="0">
          <w:tblGrid>
            <w:gridCol w:w="1478"/>
            <w:gridCol w:w="250"/>
            <w:gridCol w:w="6926"/>
          </w:tblGrid>
        </w:tblGridChange>
      </w:tblGrid>
      <w:tr>
        <w:trPr>
          <w:cantSplit w:val="0"/>
          <w:tblHeader w:val="0"/>
        </w:trPr>
        <w:tc>
          <w:tcPr>
            <w:vAlign w:val="top"/>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下降開始</w:t>
            </w:r>
          </w:p>
        </w:tc>
        <w:tc>
          <w:tcPr>
            <w:vAlign w:val="top"/>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ロープに体重を預け、後ろ向きに、慎重に下降開始します。ロープがコンクリートの角にこすれるような場所では、リビレイや、ディビエーションなどのロープ技術で、ロープが角にこすれないように工夫します。これらのロープ技術は、ロープにかかる荷重を分散させたり移し変えたりするのにも有効で、うまく活用して万が一にもロープが切れないように、何重にも安全を確保します。また、ロープがどうしてもこすれる場合は、ロープガードを使ってロープを保護します。</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構造物がオーバーハング状の場合、下降していくに従い、体が構造物から離れていくので、中間に支点を取り、ロープをセットして、構造物から離れるのを防ぎます。既設物から良好な支点を得られない場合は、コンクリート面にM8アンカーボルトを設置し、支点とします。</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なお３０～５０ｍ程度の巻き尺をロープに沿わせて張り、クリノコンバスと併用して横断測量をしながら下降します。</w:t>
            </w:r>
          </w:p>
        </w:tc>
      </w:tr>
    </w:tbl>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8654.0" w:type="dxa"/>
        <w:jc w:val="left"/>
        <w:tblInd w:w="-75.0" w:type="dxa"/>
        <w:tblLayout w:type="fixed"/>
        <w:tblLook w:val="0000"/>
      </w:tblPr>
      <w:tblGrid>
        <w:gridCol w:w="1478"/>
        <w:gridCol w:w="250"/>
        <w:gridCol w:w="6926"/>
        <w:tblGridChange w:id="0">
          <w:tblGrid>
            <w:gridCol w:w="1478"/>
            <w:gridCol w:w="250"/>
            <w:gridCol w:w="6926"/>
          </w:tblGrid>
        </w:tblGridChange>
      </w:tblGrid>
      <w:tr>
        <w:trPr>
          <w:cantSplit w:val="0"/>
          <w:tblHeader w:val="0"/>
        </w:trPr>
        <w:tc>
          <w:tcPr>
            <w:vAlign w:val="top"/>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調査作業</w:t>
            </w:r>
          </w:p>
        </w:tc>
        <w:tc>
          <w:tcPr>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ゆっくりと下降しつつ、調査測線を中心に、両側の状況に注意を払います。クラック等の変状箇所を確認次第、下降を停止し、チョークでマーキングを行った上、サイズ、形状等を観察・記載・撮影し、打音検査を行い、位置を展開図や、全景写真に記録します。</w:t>
              <w:br w:type="textWrapping"/>
              <w:t xml:space="preserve">位置の特定には遠景マンとの連携も有効で、この際、遠景マンが、変状箇所とクライミング調査員を写し込んだ遠景写真も撮影します。</w:t>
              <w:br w:type="textWrapping"/>
              <w:t xml:space="preserve">作業が終わり次第、停止を解除し、下降を再開し、調査を繰り返します。</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クライミング調査員自身が振り子状に左右に移動し、より広い範囲をカバーすることも可能です。</w:t>
            </w:r>
          </w:p>
        </w:tc>
      </w:tr>
    </w:tbl>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tl w:val="0"/>
        </w:rPr>
      </w:r>
    </w:p>
    <w:tbl>
      <w:tblPr>
        <w:tblStyle w:val="Table8"/>
        <w:tblW w:w="8654.0" w:type="dxa"/>
        <w:jc w:val="left"/>
        <w:tblInd w:w="-75.0" w:type="dxa"/>
        <w:tblLayout w:type="fixed"/>
        <w:tblLook w:val="0000"/>
      </w:tblPr>
      <w:tblGrid>
        <w:gridCol w:w="1478"/>
        <w:gridCol w:w="250"/>
        <w:gridCol w:w="6926"/>
        <w:tblGridChange w:id="0">
          <w:tblGrid>
            <w:gridCol w:w="1478"/>
            <w:gridCol w:w="250"/>
            <w:gridCol w:w="6926"/>
          </w:tblGrid>
        </w:tblGridChange>
      </w:tblGrid>
      <w:tr>
        <w:trPr>
          <w:cantSplit w:val="0"/>
          <w:tblHeader w:val="0"/>
        </w:trPr>
        <w:tc>
          <w:tcPr>
            <w:vAlign w:val="top"/>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登り返し</w:t>
            </w:r>
          </w:p>
        </w:tc>
        <w:tc>
          <w:tcPr>
            <w:vAlign w:val="top"/>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測線下端に到着次第、下降システムを登高システムに切り替え、同じルートを登り返します。</w:t>
              <w:br w:type="textWrapping"/>
              <w:t xml:space="preserve">この際、リビレイやディビエーション、ロープガードなどのセットを順次、解除・回収していきます。同時に、登り返しながらの補足調査もおこないます。</w:t>
              <w:br w:type="textWrapping"/>
              <w:t xml:space="preserve">登高ペースは２０ｍあたり５分程度で、複数の登高器を組み合わせて、腕力ではなく、脚力を使ってリズミカルかつ軽快に登高します。</w:t>
              <w:br w:type="textWrapping"/>
              <w:t xml:space="preserve">測線上端に戻り次第、支点を解除し、ロープをロープバッグに回収します。</w:t>
            </w:r>
          </w:p>
        </w:tc>
      </w:tr>
    </w:tbl>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現場作業手順フローチャート</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0"/>
          <w:szCs w:val="20"/>
          <w:u w:val="none"/>
          <w:shd w:fill="auto" w:val="clear"/>
          <w:vertAlign w:val="baseline"/>
        </w:rPr>
      </w:pPr>
      <w:r w:rsidDel="00000000" w:rsidR="00000000" w:rsidRPr="00000000">
        <w:rPr>
          <w:rFonts w:ascii="Century" w:cs="Century" w:eastAsia="Century" w:hAnsi="Century"/>
          <w:b w:val="0"/>
          <w:i w:val="0"/>
          <w:smallCaps w:val="0"/>
          <w:strike w:val="0"/>
          <w:color w:val="000000"/>
          <w:sz w:val="20"/>
          <w:szCs w:val="20"/>
          <w:u w:val="none"/>
          <w:shd w:fill="auto" w:val="clear"/>
          <w:vertAlign w:val="baseline"/>
        </w:rPr>
        <w:drawing>
          <wp:inline distB="0" distT="0" distL="114300" distR="114300">
            <wp:extent cx="4935855" cy="6553835"/>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935855" cy="655383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w:cs="Century" w:eastAsia="Century" w:hAnsi="Century"/>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Century" w:cs="Century" w:eastAsia="Century" w:hAnsi="Century"/>
          <w:b w:val="0"/>
          <w:i w:val="0"/>
          <w:smallCaps w:val="0"/>
          <w:strike w:val="0"/>
          <w:color w:val="000000"/>
          <w:sz w:val="20"/>
          <w:szCs w:val="20"/>
          <w:u w:val="none"/>
          <w:shd w:fill="auto" w:val="clear"/>
          <w:vertAlign w:val="baseline"/>
          <w:rtl w:val="0"/>
        </w:rPr>
        <w:t xml:space="preserve">作業模式図</w:t>
      </w:r>
      <w:r w:rsidDel="00000000" w:rsidR="00000000" w:rsidRPr="00000000">
        <w:rPr>
          <w:rFonts w:ascii="Century" w:cs="Century" w:eastAsia="Century" w:hAnsi="Century"/>
          <w:b w:val="0"/>
          <w:i w:val="0"/>
          <w:smallCaps w:val="0"/>
          <w:strike w:val="0"/>
          <w:color w:val="000000"/>
          <w:sz w:val="20"/>
          <w:szCs w:val="20"/>
          <w:u w:val="none"/>
          <w:shd w:fill="auto" w:val="clear"/>
          <w:vertAlign w:val="baseline"/>
        </w:rPr>
        <w:drawing>
          <wp:inline distB="0" distT="0" distL="114300" distR="114300">
            <wp:extent cx="5445125" cy="3849370"/>
            <wp:effectExtent b="0" l="0" r="0" t="0"/>
            <wp:docPr id="4"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5445125" cy="384937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0"/>
          <w:szCs w:val="20"/>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Pr>
        <w:drawing>
          <wp:inline distB="0" distT="0" distL="114300" distR="114300">
            <wp:extent cx="5445125" cy="3956685"/>
            <wp:effectExtent b="0" l="0" r="0" t="0"/>
            <wp:docPr id="3"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445125" cy="395668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Century" w:cs="Century" w:eastAsia="Century" w:hAnsi="Century"/>
          <w:b w:val="0"/>
          <w:i w:val="0"/>
          <w:smallCaps w:val="0"/>
          <w:strike w:val="0"/>
          <w:color w:val="000000"/>
          <w:sz w:val="24"/>
          <w:szCs w:val="24"/>
          <w:u w:val="none"/>
          <w:shd w:fill="auto" w:val="clear"/>
          <w:vertAlign w:val="baseline"/>
          <w:rtl w:val="0"/>
        </w:rPr>
        <w:t xml:space="preserve">想定される災害、防止対策</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bl>
      <w:tblPr>
        <w:tblStyle w:val="Table9"/>
        <w:tblW w:w="8624.0" w:type="dxa"/>
        <w:jc w:val="left"/>
        <w:tblInd w:w="-45.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1447"/>
        <w:gridCol w:w="2589"/>
        <w:gridCol w:w="4588"/>
        <w:tblGridChange w:id="0">
          <w:tblGrid>
            <w:gridCol w:w="1447"/>
            <w:gridCol w:w="2589"/>
            <w:gridCol w:w="4588"/>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 項目</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想定される災害</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防止対策</w:t>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墜落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ロープ固定ミス</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  結び目確認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  結束作業中に話しかけない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  結束後の指差し確認</w:t>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下降支点の脱落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  下降支点は必ず２箇所以上に作る</w:t>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下降器やハーネスの誤装着</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  装着作業中に話しかけない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  装着後の指差し確認</w:t>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セルフビレイ（自己確保） とり忘れ</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  仮荷重テスト時でのセルフビレイの徹底</w:t>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ロープの切断</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  使用前にロープの傷みを点検する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 </w:t>
            </w:r>
            <w:r w:rsidDel="00000000" w:rsidR="00000000" w:rsidRPr="00000000">
              <w:rPr>
                <w:rFonts w:ascii="MS PGothic" w:cs="MS PGothic" w:eastAsia="MS PGothic" w:hAnsi="MS PGothic"/>
                <w:b w:val="0"/>
                <w:i w:val="0"/>
                <w:smallCaps w:val="0"/>
                <w:strike w:val="0"/>
                <w:color w:val="ff0000"/>
                <w:sz w:val="20"/>
                <w:szCs w:val="20"/>
                <w:u w:val="none"/>
                <w:shd w:fill="auto" w:val="clear"/>
                <w:vertAlign w:val="baseline"/>
                <w:rtl w:val="0"/>
              </w:rPr>
              <w:t xml:space="preserve"> </w:t>
            </w: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コンクリートの角等への接触を避ける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  接触する場合はロープガードで保護する。ロープにかかる荷重の分散、移し変えを逐次おこなう。</w:t>
            </w:r>
          </w:p>
        </w:tc>
      </w:tr>
      <w:tr>
        <w:trPr>
          <w:cantSplit w:val="1"/>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落下物</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上下作業時の落石被害</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  上下作業にならないように、連絡を緊密にする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  遠景マン（支援要員）による監視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  下方を通過せざるを得ない場合は、連絡を取り合い、迅速に通過する。</w:t>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上方に侵入した第三者（調査チーム員以外）による落下物。</w:t>
              <w:br w:type="textWrapping"/>
              <w:t xml:space="preserve">下方に侵入した第三者への落下物。</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  第三者の作業範囲および上方・下方への侵入禁止の事前確認の徹底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  侵入者を発見次第、警告し、作業は中断し危険回避動作をとる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  遠景マン（支援要員）による侵入者の断固阻止 </w:t>
            </w:r>
          </w:p>
        </w:tc>
      </w:tr>
      <w:tr>
        <w:trPr>
          <w:cantSplit w:val="1"/>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所持品の落下による被害</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PGothic" w:cs="MS PGothic" w:eastAsia="MS PGothic" w:hAnsi="MS PGothic"/>
                <w:b w:val="0"/>
                <w:i w:val="0"/>
                <w:smallCaps w:val="0"/>
                <w:strike w:val="0"/>
                <w:color w:val="000000"/>
                <w:sz w:val="20"/>
                <w:szCs w:val="20"/>
                <w:u w:val="none"/>
                <w:shd w:fill="auto" w:val="clear"/>
                <w:vertAlign w:val="baseline"/>
              </w:rPr>
            </w:pPr>
            <w:r w:rsidDel="00000000" w:rsidR="00000000" w:rsidRPr="00000000">
              <w:rPr>
                <w:rFonts w:ascii="MS PGothic" w:cs="MS PGothic" w:eastAsia="MS PGothic" w:hAnsi="MS PGothic"/>
                <w:b w:val="0"/>
                <w:i w:val="0"/>
                <w:smallCaps w:val="0"/>
                <w:strike w:val="0"/>
                <w:color w:val="000000"/>
                <w:sz w:val="20"/>
                <w:szCs w:val="20"/>
                <w:u w:val="none"/>
                <w:shd w:fill="auto" w:val="clear"/>
                <w:vertAlign w:val="baseline"/>
                <w:rtl w:val="0"/>
              </w:rPr>
              <w:t xml:space="preserve">  所持品は原則としてすべて、ヒモなど体につなぐ</w:t>
            </w:r>
          </w:p>
        </w:tc>
      </w:tr>
    </w:tbl>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Century" w:cs="Century" w:eastAsia="Century" w:hAnsi="Century"/>
          <w:b w:val="0"/>
          <w:i w:val="0"/>
          <w:smallCaps w:val="0"/>
          <w:strike w:val="0"/>
          <w:color w:val="000000"/>
          <w:sz w:val="24"/>
          <w:szCs w:val="24"/>
          <w:u w:val="none"/>
          <w:shd w:fill="auto" w:val="clear"/>
          <w:vertAlign w:val="baseline"/>
          <w:rtl w:val="0"/>
        </w:rPr>
        <w:t xml:space="preserve">使用する主な機器</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■支点設置に使用する主な機器</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バッテリー式ハンマードリル、ドリルビット12.5mm</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Pr>
        <w:drawing>
          <wp:inline distB="0" distT="0" distL="114300" distR="114300">
            <wp:extent cx="1657350" cy="1171575"/>
            <wp:effectExtent b="0" l="0" r="0" t="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657350" cy="1171575"/>
                    </a:xfrm>
                    <a:prstGeom prst="rect"/>
                    <a:ln/>
                  </pic:spPr>
                </pic:pic>
              </a:graphicData>
            </a:graphic>
          </wp:inline>
        </w:drawing>
      </w: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　　　　</w:t>
      </w:r>
      <w:r w:rsidDel="00000000" w:rsidR="00000000" w:rsidRPr="00000000">
        <w:rPr>
          <w:rFonts w:ascii="Century" w:cs="Century" w:eastAsia="Century" w:hAnsi="Century"/>
          <w:b w:val="0"/>
          <w:i w:val="0"/>
          <w:smallCaps w:val="0"/>
          <w:strike w:val="0"/>
          <w:color w:val="000000"/>
          <w:sz w:val="21"/>
          <w:szCs w:val="21"/>
          <w:u w:val="none"/>
          <w:shd w:fill="auto" w:val="clear"/>
          <w:vertAlign w:val="baseline"/>
        </w:rPr>
        <w:drawing>
          <wp:inline distB="0" distT="0" distL="114300" distR="114300">
            <wp:extent cx="1746250" cy="971550"/>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746250" cy="97155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80"/>
        <w:jc w:val="both"/>
        <w:rPr>
          <w:rFonts w:ascii="Century" w:cs="Century" w:eastAsia="Century" w:hAnsi="Century"/>
          <w:b w:val="0"/>
          <w:i w:val="0"/>
          <w:smallCaps w:val="0"/>
          <w:strike w:val="0"/>
          <w:color w:val="000000"/>
          <w:sz w:val="16"/>
          <w:szCs w:val="16"/>
          <w:u w:val="none"/>
          <w:shd w:fill="auto" w:val="clear"/>
          <w:vertAlign w:val="baseline"/>
        </w:rPr>
      </w:pPr>
      <w:r w:rsidDel="00000000" w:rsidR="00000000" w:rsidRPr="00000000">
        <w:rPr>
          <w:rFonts w:ascii="Century" w:cs="Century" w:eastAsia="Century" w:hAnsi="Century"/>
          <w:b w:val="0"/>
          <w:i w:val="0"/>
          <w:smallCaps w:val="0"/>
          <w:strike w:val="0"/>
          <w:color w:val="000000"/>
          <w:sz w:val="16"/>
          <w:szCs w:val="16"/>
          <w:u w:val="none"/>
          <w:shd w:fill="auto" w:val="clear"/>
          <w:vertAlign w:val="baseline"/>
          <w:rtl w:val="0"/>
        </w:rPr>
        <w:t xml:space="preserve">バッテリー式ハンマードリル　　　　　　　　　　ドリルビット</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3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30"/>
        <w:jc w:val="left"/>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　　</w:t>
      </w:r>
      <w:r w:rsidDel="00000000" w:rsidR="00000000" w:rsidRPr="00000000">
        <w:rPr>
          <w:rFonts w:ascii="Century" w:cs="Century" w:eastAsia="Century" w:hAnsi="Century"/>
          <w:b w:val="0"/>
          <w:i w:val="0"/>
          <w:smallCaps w:val="0"/>
          <w:strike w:val="0"/>
          <w:color w:val="000000"/>
          <w:sz w:val="21"/>
          <w:szCs w:val="21"/>
          <w:u w:val="none"/>
          <w:shd w:fill="auto" w:val="clear"/>
          <w:vertAlign w:val="baseline"/>
        </w:rPr>
        <w:drawing>
          <wp:inline distB="0" distT="0" distL="114300" distR="114300">
            <wp:extent cx="3494405" cy="5690870"/>
            <wp:effectExtent b="0" l="0" r="0" t="0"/>
            <wp:docPr id="1"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3494405" cy="5690870"/>
                    </a:xfrm>
                    <a:prstGeom prst="rect"/>
                    <a:ln/>
                  </pic:spPr>
                </pic:pic>
              </a:graphicData>
            </a:graphic>
          </wp:inline>
        </w:drawing>
      </w:r>
      <w:r w:rsidDel="00000000" w:rsidR="00000000" w:rsidRPr="00000000">
        <w:rPr>
          <w:rtl w:val="0"/>
        </w:rPr>
      </w:r>
    </w:p>
    <w:sectPr>
      <w:pgSz w:h="16838" w:w="11906" w:orient="portrait"/>
      <w:pgMar w:bottom="1701" w:top="1985" w:left="1701" w:right="1701"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MS Mincho"/>
  <w:font w:name="MS PGothic"/>
  <w:font w:name="Century"/>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720"/>
      </w:pPr>
      <w:rPr>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w:cs="Century" w:eastAsia="Century" w:hAnsi="Century"/>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75.0" w:type="dxa"/>
        <w:left w:w="75.0" w:type="dxa"/>
        <w:bottom w:w="75.0" w:type="dxa"/>
        <w:right w:w="75.0" w:type="dxa"/>
      </w:tblCellMar>
    </w:tblPr>
  </w:style>
  <w:style w:type="table" w:styleId="Table2">
    <w:basedOn w:val="TableNormal"/>
    <w:tblPr>
      <w:tblStyleRowBandSize w:val="1"/>
      <w:tblStyleColBandSize w:val="1"/>
      <w:tblCellMar>
        <w:top w:w="75.0" w:type="dxa"/>
        <w:left w:w="75.0" w:type="dxa"/>
        <w:bottom w:w="75.0" w:type="dxa"/>
        <w:right w:w="75.0" w:type="dxa"/>
      </w:tblCellMar>
    </w:tblPr>
  </w:style>
  <w:style w:type="table" w:styleId="Table3">
    <w:basedOn w:val="TableNormal"/>
    <w:tblPr>
      <w:tblStyleRowBandSize w:val="1"/>
      <w:tblStyleColBandSize w:val="1"/>
      <w:tblCellMar>
        <w:top w:w="75.0" w:type="dxa"/>
        <w:left w:w="75.0" w:type="dxa"/>
        <w:bottom w:w="75.0" w:type="dxa"/>
        <w:right w:w="75.0" w:type="dxa"/>
      </w:tblCellMar>
    </w:tblPr>
  </w:style>
  <w:style w:type="table" w:styleId="Table4">
    <w:basedOn w:val="TableNormal"/>
    <w:tblPr>
      <w:tblStyleRowBandSize w:val="1"/>
      <w:tblStyleColBandSize w:val="1"/>
      <w:tblCellMar>
        <w:top w:w="75.0" w:type="dxa"/>
        <w:left w:w="75.0" w:type="dxa"/>
        <w:bottom w:w="75.0" w:type="dxa"/>
        <w:right w:w="75.0" w:type="dxa"/>
      </w:tblCellMar>
    </w:tblPr>
  </w:style>
  <w:style w:type="table" w:styleId="Table5">
    <w:basedOn w:val="TableNormal"/>
    <w:tblPr>
      <w:tblStyleRowBandSize w:val="1"/>
      <w:tblStyleColBandSize w:val="1"/>
      <w:tblCellMar>
        <w:top w:w="75.0" w:type="dxa"/>
        <w:left w:w="75.0" w:type="dxa"/>
        <w:bottom w:w="75.0" w:type="dxa"/>
        <w:right w:w="75.0" w:type="dxa"/>
      </w:tblCellMar>
    </w:tblPr>
  </w:style>
  <w:style w:type="table" w:styleId="Table6">
    <w:basedOn w:val="TableNormal"/>
    <w:tblPr>
      <w:tblStyleRowBandSize w:val="1"/>
      <w:tblStyleColBandSize w:val="1"/>
      <w:tblCellMar>
        <w:top w:w="75.0" w:type="dxa"/>
        <w:left w:w="75.0" w:type="dxa"/>
        <w:bottom w:w="75.0" w:type="dxa"/>
        <w:right w:w="75.0" w:type="dxa"/>
      </w:tblCellMar>
    </w:tblPr>
  </w:style>
  <w:style w:type="table" w:styleId="Table7">
    <w:basedOn w:val="TableNormal"/>
    <w:tblPr>
      <w:tblStyleRowBandSize w:val="1"/>
      <w:tblStyleColBandSize w:val="1"/>
      <w:tblCellMar>
        <w:top w:w="75.0" w:type="dxa"/>
        <w:left w:w="75.0" w:type="dxa"/>
        <w:bottom w:w="75.0" w:type="dxa"/>
        <w:right w:w="75.0" w:type="dxa"/>
      </w:tblCellMar>
    </w:tblPr>
  </w:style>
  <w:style w:type="table" w:styleId="Table8">
    <w:basedOn w:val="TableNormal"/>
    <w:tblPr>
      <w:tblStyleRowBandSize w:val="1"/>
      <w:tblStyleColBandSize w:val="1"/>
      <w:tblCellMar>
        <w:top w:w="75.0" w:type="dxa"/>
        <w:left w:w="75.0" w:type="dxa"/>
        <w:bottom w:w="75.0" w:type="dxa"/>
        <w:right w:w="75.0" w:type="dxa"/>
      </w:tblCellMar>
    </w:tblPr>
  </w:style>
  <w:style w:type="table" w:styleId="Table9">
    <w:basedOn w:val="TableNormal"/>
    <w:tblPr>
      <w:tblStyleRowBandSize w:val="1"/>
      <w:tblStyleColBandSize w:val="1"/>
      <w:tblCellMar>
        <w:top w:w="45.0" w:type="dxa"/>
        <w:left w:w="45.0" w:type="dxa"/>
        <w:bottom w:w="45.0" w:type="dxa"/>
        <w:right w:w="4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image" Target="media/image3.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6.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